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3AC3F6" w14:textId="41A9ABB1" w:rsidR="00B34761" w:rsidRPr="00B34761" w:rsidRDefault="00B34761" w:rsidP="00B34761">
      <w:pPr>
        <w:spacing w:after="0" w:line="279" w:lineRule="auto"/>
        <w:jc w:val="right"/>
        <w:rPr>
          <w:rFonts w:ascii="Times New Roman" w:eastAsia="Aptos" w:hAnsi="Times New Roman" w:cs="Times New Roman"/>
          <w:kern w:val="0"/>
          <w14:ligatures w14:val="none"/>
        </w:rPr>
      </w:pPr>
      <w:r>
        <w:rPr>
          <w:rFonts w:ascii="Times New Roman" w:eastAsia="Aptos" w:hAnsi="Times New Roman" w:cs="Times New Roman"/>
          <w:kern w:val="0"/>
          <w14:ligatures w14:val="none"/>
        </w:rPr>
        <w:t>Prokuratuuriseaduse muutmise</w:t>
      </w:r>
      <w:r w:rsidRPr="00B34761">
        <w:rPr>
          <w:rFonts w:ascii="Times New Roman" w:eastAsia="Aptos" w:hAnsi="Times New Roman" w:cs="Times New Roman"/>
          <w:kern w:val="0"/>
          <w14:ligatures w14:val="none"/>
        </w:rPr>
        <w:t xml:space="preserve"> seaduse eelnõu </w:t>
      </w:r>
      <w:r w:rsidR="009B7404">
        <w:rPr>
          <w:rFonts w:ascii="Times New Roman" w:eastAsia="Aptos" w:hAnsi="Times New Roman" w:cs="Times New Roman"/>
          <w:kern w:val="0"/>
          <w14:ligatures w14:val="none"/>
        </w:rPr>
        <w:br/>
      </w:r>
      <w:r w:rsidRPr="00B34761">
        <w:rPr>
          <w:rFonts w:ascii="Times New Roman" w:eastAsia="Aptos" w:hAnsi="Times New Roman" w:cs="Times New Roman"/>
          <w:kern w:val="0"/>
          <w14:ligatures w14:val="none"/>
        </w:rPr>
        <w:t>seletuskir</w:t>
      </w:r>
      <w:r w:rsidR="009B7404">
        <w:rPr>
          <w:rFonts w:ascii="Times New Roman" w:eastAsia="Aptos" w:hAnsi="Times New Roman" w:cs="Times New Roman"/>
          <w:kern w:val="0"/>
          <w14:ligatures w14:val="none"/>
        </w:rPr>
        <w:t>ja juurde</w:t>
      </w:r>
    </w:p>
    <w:p w14:paraId="4D7C7388" w14:textId="35FBBBA0" w:rsidR="00B34761" w:rsidRPr="00B34761" w:rsidRDefault="00B34761" w:rsidP="00B34761">
      <w:pPr>
        <w:spacing w:after="0" w:line="279" w:lineRule="auto"/>
        <w:jc w:val="right"/>
        <w:rPr>
          <w:rFonts w:ascii="Times New Roman" w:eastAsia="Aptos" w:hAnsi="Times New Roman" w:cs="Times New Roman"/>
          <w:kern w:val="0"/>
          <w14:ligatures w14:val="none"/>
        </w:rPr>
      </w:pPr>
      <w:r w:rsidRPr="00B34761">
        <w:rPr>
          <w:rFonts w:ascii="Times New Roman" w:eastAsia="Aptos" w:hAnsi="Times New Roman" w:cs="Times New Roman"/>
          <w:kern w:val="0"/>
          <w14:ligatures w14:val="none"/>
        </w:rPr>
        <w:t xml:space="preserve">Lisa </w:t>
      </w:r>
      <w:r>
        <w:rPr>
          <w:rFonts w:ascii="Times New Roman" w:eastAsia="Aptos" w:hAnsi="Times New Roman" w:cs="Times New Roman"/>
          <w:kern w:val="0"/>
          <w14:ligatures w14:val="none"/>
        </w:rPr>
        <w:t>1</w:t>
      </w:r>
    </w:p>
    <w:p w14:paraId="3A6906F7" w14:textId="77777777" w:rsidR="00B34761" w:rsidRPr="00B34761" w:rsidRDefault="00B34761" w:rsidP="00B34761">
      <w:pPr>
        <w:spacing w:after="0" w:line="279" w:lineRule="auto"/>
        <w:jc w:val="right"/>
        <w:rPr>
          <w:rFonts w:ascii="Times New Roman" w:eastAsia="Aptos" w:hAnsi="Times New Roman" w:cs="Times New Roman"/>
          <w:kern w:val="0"/>
          <w14:ligatures w14:val="none"/>
        </w:rPr>
      </w:pPr>
    </w:p>
    <w:p w14:paraId="6A3D1469" w14:textId="77777777" w:rsidR="00B34761" w:rsidRPr="00B34761" w:rsidRDefault="00B34761" w:rsidP="00B34761">
      <w:pPr>
        <w:spacing w:after="0" w:line="279" w:lineRule="auto"/>
        <w:jc w:val="right"/>
        <w:rPr>
          <w:rFonts w:ascii="Times New Roman" w:eastAsia="Aptos" w:hAnsi="Times New Roman" w:cs="Times New Roman"/>
          <w:kern w:val="0"/>
          <w14:ligatures w14:val="none"/>
        </w:rPr>
      </w:pPr>
      <w:r w:rsidRPr="00B34761">
        <w:rPr>
          <w:rFonts w:ascii="Times New Roman" w:eastAsia="Aptos" w:hAnsi="Times New Roman" w:cs="Times New Roman"/>
          <w:kern w:val="0"/>
          <w14:ligatures w14:val="none"/>
        </w:rPr>
        <w:t>Kooskõlastustabel</w:t>
      </w:r>
    </w:p>
    <w:p w14:paraId="4444E273" w14:textId="77777777" w:rsidR="00B34761" w:rsidRPr="00B34761" w:rsidRDefault="00B34761" w:rsidP="00B34761">
      <w:pPr>
        <w:spacing w:after="0" w:line="279" w:lineRule="auto"/>
        <w:rPr>
          <w:rFonts w:ascii="Times New Roman" w:eastAsia="Aptos" w:hAnsi="Times New Roman" w:cs="Times New Roman"/>
          <w:kern w:val="0"/>
          <w14:ligatures w14:val="none"/>
        </w:rPr>
      </w:pPr>
    </w:p>
    <w:p w14:paraId="21B03B9B" w14:textId="0FA31D98" w:rsidR="007B1310" w:rsidRPr="00B34761" w:rsidRDefault="00B34761" w:rsidP="007B1310">
      <w:pPr>
        <w:spacing w:after="0" w:line="279" w:lineRule="auto"/>
        <w:jc w:val="both"/>
        <w:rPr>
          <w:rFonts w:ascii="Times New Roman" w:eastAsia="Aptos" w:hAnsi="Times New Roman" w:cs="Times New Roman"/>
          <w:kern w:val="0"/>
          <w14:ligatures w14:val="none"/>
        </w:rPr>
      </w:pPr>
      <w:r w:rsidRPr="00B34761">
        <w:rPr>
          <w:rFonts w:ascii="Times New Roman" w:eastAsia="Aptos" w:hAnsi="Times New Roman" w:cs="Times New Roman"/>
          <w:kern w:val="0"/>
          <w14:ligatures w14:val="none"/>
        </w:rPr>
        <w:t xml:space="preserve">Eelnõule esitas arvamuse ja tagasiside </w:t>
      </w:r>
      <w:r>
        <w:rPr>
          <w:rFonts w:ascii="Times New Roman" w:eastAsia="Aptos" w:hAnsi="Times New Roman" w:cs="Times New Roman"/>
          <w:kern w:val="0"/>
          <w14:ligatures w14:val="none"/>
        </w:rPr>
        <w:t>Riigiprokuratuur. Riigikohus ning Eesti Advokatuur teavitasid</w:t>
      </w:r>
      <w:r w:rsidRPr="00B34761">
        <w:rPr>
          <w:rFonts w:ascii="Times New Roman" w:eastAsia="Aptos" w:hAnsi="Times New Roman" w:cs="Times New Roman"/>
          <w:kern w:val="0"/>
          <w14:ligatures w14:val="none"/>
        </w:rPr>
        <w:t xml:space="preserve">, </w:t>
      </w:r>
      <w:r w:rsidR="006236C1">
        <w:rPr>
          <w:rFonts w:ascii="Times New Roman" w:eastAsia="Aptos" w:hAnsi="Times New Roman" w:cs="Times New Roman"/>
          <w:kern w:val="0"/>
          <w14:ligatures w14:val="none"/>
        </w:rPr>
        <w:t xml:space="preserve">et ei soovi arvamust avaldada. </w:t>
      </w:r>
    </w:p>
    <w:p w14:paraId="6535C46F" w14:textId="77777777" w:rsidR="00B34761" w:rsidRPr="00B34761" w:rsidRDefault="00B34761" w:rsidP="00B34761">
      <w:pPr>
        <w:spacing w:after="0" w:line="279" w:lineRule="auto"/>
        <w:rPr>
          <w:rFonts w:ascii="Times New Roman" w:eastAsia="Aptos" w:hAnsi="Times New Roman" w:cs="Times New Roman"/>
          <w:kern w:val="0"/>
          <w14:ligatures w14:val="none"/>
        </w:rPr>
      </w:pPr>
    </w:p>
    <w:tbl>
      <w:tblPr>
        <w:tblStyle w:val="Kontuurtabel"/>
        <w:tblW w:w="9918" w:type="dxa"/>
        <w:tblLayout w:type="fixed"/>
        <w:tblLook w:val="04A0" w:firstRow="1" w:lastRow="0" w:firstColumn="1" w:lastColumn="0" w:noHBand="0" w:noVBand="1"/>
      </w:tblPr>
      <w:tblGrid>
        <w:gridCol w:w="556"/>
        <w:gridCol w:w="1566"/>
        <w:gridCol w:w="4536"/>
        <w:gridCol w:w="3260"/>
      </w:tblGrid>
      <w:tr w:rsidR="00E41BBF" w:rsidRPr="00B34761" w14:paraId="5C332D93" w14:textId="77777777" w:rsidTr="00AC295D">
        <w:tc>
          <w:tcPr>
            <w:tcW w:w="556" w:type="dxa"/>
          </w:tcPr>
          <w:p w14:paraId="2D75AF86" w14:textId="77777777" w:rsidR="00B34761" w:rsidRPr="00B34761" w:rsidRDefault="00B34761" w:rsidP="00B34761">
            <w:pPr>
              <w:jc w:val="both"/>
              <w:rPr>
                <w:rFonts w:ascii="Times New Roman" w:eastAsia="Aptos" w:hAnsi="Times New Roman" w:cs="Times New Roman"/>
                <w:b/>
                <w:bCs/>
              </w:rPr>
            </w:pPr>
            <w:r w:rsidRPr="00B34761">
              <w:rPr>
                <w:rFonts w:ascii="Times New Roman" w:eastAsia="Aptos" w:hAnsi="Times New Roman" w:cs="Times New Roman"/>
                <w:b/>
                <w:bCs/>
              </w:rPr>
              <w:t>Nr.</w:t>
            </w:r>
          </w:p>
        </w:tc>
        <w:tc>
          <w:tcPr>
            <w:tcW w:w="1566" w:type="dxa"/>
          </w:tcPr>
          <w:p w14:paraId="16DB70AA" w14:textId="77777777" w:rsidR="00B34761" w:rsidRPr="00B34761" w:rsidRDefault="00B34761" w:rsidP="00B34761">
            <w:pPr>
              <w:jc w:val="both"/>
              <w:rPr>
                <w:rFonts w:ascii="Times New Roman" w:eastAsia="Aptos" w:hAnsi="Times New Roman" w:cs="Times New Roman"/>
                <w:b/>
                <w:bCs/>
              </w:rPr>
            </w:pPr>
            <w:r w:rsidRPr="00B34761">
              <w:rPr>
                <w:rFonts w:ascii="Times New Roman" w:eastAsia="Aptos" w:hAnsi="Times New Roman" w:cs="Times New Roman"/>
                <w:b/>
                <w:bCs/>
              </w:rPr>
              <w:t>Esitaja</w:t>
            </w:r>
          </w:p>
        </w:tc>
        <w:tc>
          <w:tcPr>
            <w:tcW w:w="4536" w:type="dxa"/>
          </w:tcPr>
          <w:p w14:paraId="7B7DDA15" w14:textId="77777777" w:rsidR="00B34761" w:rsidRPr="00B34761" w:rsidRDefault="00B34761" w:rsidP="00B34761">
            <w:pPr>
              <w:jc w:val="both"/>
              <w:rPr>
                <w:rFonts w:ascii="Times New Roman" w:eastAsia="Aptos" w:hAnsi="Times New Roman" w:cs="Times New Roman"/>
                <w:b/>
                <w:bCs/>
              </w:rPr>
            </w:pPr>
            <w:r w:rsidRPr="00B34761">
              <w:rPr>
                <w:rFonts w:ascii="Times New Roman" w:eastAsia="Aptos" w:hAnsi="Times New Roman" w:cs="Times New Roman"/>
                <w:b/>
                <w:bCs/>
              </w:rPr>
              <w:t xml:space="preserve">Ettepanek/tagasiside </w:t>
            </w:r>
          </w:p>
        </w:tc>
        <w:tc>
          <w:tcPr>
            <w:tcW w:w="3260" w:type="dxa"/>
          </w:tcPr>
          <w:p w14:paraId="26245DE7" w14:textId="77777777" w:rsidR="00B34761" w:rsidRPr="00B34761" w:rsidRDefault="00B34761" w:rsidP="00B34761">
            <w:pPr>
              <w:jc w:val="both"/>
              <w:rPr>
                <w:rFonts w:ascii="Times New Roman" w:eastAsia="Aptos" w:hAnsi="Times New Roman" w:cs="Times New Roman"/>
                <w:b/>
                <w:bCs/>
              </w:rPr>
            </w:pPr>
            <w:r w:rsidRPr="00B34761">
              <w:rPr>
                <w:rFonts w:ascii="Times New Roman" w:eastAsia="Aptos" w:hAnsi="Times New Roman" w:cs="Times New Roman"/>
                <w:b/>
                <w:bCs/>
              </w:rPr>
              <w:t>Arvestatud/mittearvestatud/selgitus</w:t>
            </w:r>
          </w:p>
        </w:tc>
      </w:tr>
      <w:tr w:rsidR="00E41BBF" w:rsidRPr="00B34761" w14:paraId="6BEC1986" w14:textId="77777777" w:rsidTr="00AC295D">
        <w:tc>
          <w:tcPr>
            <w:tcW w:w="556" w:type="dxa"/>
          </w:tcPr>
          <w:p w14:paraId="4A7228A1" w14:textId="49AE7BB5" w:rsidR="00B35F27" w:rsidRPr="00B34761" w:rsidRDefault="009B7404" w:rsidP="00B34761">
            <w:pPr>
              <w:jc w:val="both"/>
              <w:rPr>
                <w:rFonts w:ascii="Times New Roman" w:eastAsia="Aptos" w:hAnsi="Times New Roman" w:cs="Times New Roman"/>
                <w:b/>
                <w:bCs/>
              </w:rPr>
            </w:pPr>
            <w:r>
              <w:rPr>
                <w:rFonts w:ascii="Times New Roman" w:eastAsia="Aptos" w:hAnsi="Times New Roman" w:cs="Times New Roman"/>
                <w:b/>
                <w:bCs/>
              </w:rPr>
              <w:t>1</w:t>
            </w:r>
            <w:r w:rsidR="00625B2F">
              <w:rPr>
                <w:rFonts w:ascii="Times New Roman" w:eastAsia="Aptos" w:hAnsi="Times New Roman" w:cs="Times New Roman"/>
                <w:b/>
                <w:bCs/>
              </w:rPr>
              <w:t>.</w:t>
            </w:r>
          </w:p>
        </w:tc>
        <w:tc>
          <w:tcPr>
            <w:tcW w:w="1566" w:type="dxa"/>
          </w:tcPr>
          <w:p w14:paraId="188D94EA" w14:textId="0F985D6C" w:rsidR="00B35F27" w:rsidRPr="00B34761" w:rsidRDefault="00B35F27" w:rsidP="00B34761">
            <w:pPr>
              <w:jc w:val="both"/>
              <w:rPr>
                <w:rFonts w:ascii="Times New Roman" w:eastAsia="Aptos" w:hAnsi="Times New Roman" w:cs="Times New Roman"/>
                <w:b/>
                <w:bCs/>
              </w:rPr>
            </w:pPr>
            <w:proofErr w:type="spellStart"/>
            <w:r>
              <w:rPr>
                <w:rFonts w:ascii="Times New Roman" w:eastAsia="Aptos" w:hAnsi="Times New Roman" w:cs="Times New Roman"/>
                <w:b/>
                <w:bCs/>
              </w:rPr>
              <w:t>Riigi</w:t>
            </w:r>
            <w:r w:rsidR="00F60491">
              <w:rPr>
                <w:rFonts w:ascii="Times New Roman" w:eastAsia="Aptos" w:hAnsi="Times New Roman" w:cs="Times New Roman"/>
                <w:b/>
                <w:bCs/>
              </w:rPr>
              <w:t>-</w:t>
            </w:r>
            <w:r>
              <w:rPr>
                <w:rFonts w:ascii="Times New Roman" w:eastAsia="Aptos" w:hAnsi="Times New Roman" w:cs="Times New Roman"/>
                <w:b/>
                <w:bCs/>
              </w:rPr>
              <w:t>prokuratuur</w:t>
            </w:r>
            <w:proofErr w:type="spellEnd"/>
          </w:p>
        </w:tc>
        <w:tc>
          <w:tcPr>
            <w:tcW w:w="4536" w:type="dxa"/>
          </w:tcPr>
          <w:p w14:paraId="0A96821E" w14:textId="3AAC1629" w:rsidR="00B35F27" w:rsidRPr="00B34761" w:rsidRDefault="00B35F27" w:rsidP="00B34761">
            <w:pPr>
              <w:jc w:val="both"/>
              <w:rPr>
                <w:rFonts w:ascii="Times New Roman" w:eastAsia="Aptos" w:hAnsi="Times New Roman" w:cs="Times New Roman"/>
              </w:rPr>
            </w:pPr>
            <w:r w:rsidRPr="00B35F27">
              <w:rPr>
                <w:rFonts w:ascii="Times New Roman" w:eastAsia="Aptos" w:hAnsi="Times New Roman" w:cs="Times New Roman"/>
              </w:rPr>
              <w:t xml:space="preserve">Eelnõu punkti 1 kohaselt täiendatakse </w:t>
            </w:r>
            <w:proofErr w:type="spellStart"/>
            <w:r w:rsidRPr="00B35F27">
              <w:rPr>
                <w:rFonts w:ascii="Times New Roman" w:eastAsia="Aptos" w:hAnsi="Times New Roman" w:cs="Times New Roman"/>
              </w:rPr>
              <w:t>ProkS</w:t>
            </w:r>
            <w:proofErr w:type="spellEnd"/>
            <w:r w:rsidRPr="00B35F27">
              <w:rPr>
                <w:rFonts w:ascii="Times New Roman" w:eastAsia="Aptos" w:hAnsi="Times New Roman" w:cs="Times New Roman"/>
              </w:rPr>
              <w:t xml:space="preserve"> §-i 2 lõikega 3 järgmises sõnastuses: „Prokurör võib esitada Riigikohtule kassatsiooni ulatuses, milleks on teda konkreetses kriminaalmenetluses volitanud riigi peaprokurör või juhtivprokurör.“. Prokuratuur on taoliste menetlusotsuste tegemisel rakendanud oma sisemistes tööprotsessides üha enam nelja silma põhimõtet ka ilma vastava regulatsioonita. Seetõttu ei pea prokuratuur nimetatud sätte lisamist seadusesse esmatähtsaks. Samas küsimus selle põhimõtte seaduse tasandil sätestamise vajadusest kuulub seadusandja otsustuspädevusse. Viimase rakendamisel võiks kaaluda eelnõu seletuskirja täiendamist viisil, mis ei tugineks muudatuse põhistamisel üksnes ühele kaasusele vaid laiemale põhimõttelisele õiguspoliitilisele valikule, mida on kasutanud ka mitmed teised Euroopa riigid</w:t>
            </w:r>
          </w:p>
        </w:tc>
        <w:tc>
          <w:tcPr>
            <w:tcW w:w="3260" w:type="dxa"/>
          </w:tcPr>
          <w:p w14:paraId="6607D10F" w14:textId="77777777" w:rsidR="005F53D9" w:rsidRDefault="00625B2F" w:rsidP="00B34761">
            <w:pPr>
              <w:jc w:val="both"/>
              <w:rPr>
                <w:rFonts w:ascii="Times New Roman" w:eastAsia="Aptos" w:hAnsi="Times New Roman" w:cs="Times New Roman"/>
                <w:b/>
                <w:bCs/>
              </w:rPr>
            </w:pPr>
            <w:r>
              <w:rPr>
                <w:rFonts w:ascii="Times New Roman" w:eastAsia="Aptos" w:hAnsi="Times New Roman" w:cs="Times New Roman"/>
                <w:b/>
                <w:bCs/>
              </w:rPr>
              <w:t xml:space="preserve">Arvestatud. </w:t>
            </w:r>
          </w:p>
          <w:p w14:paraId="4B0A79B6" w14:textId="3395CAE8" w:rsidR="00B35F27" w:rsidRPr="00B34761" w:rsidRDefault="00625B2F" w:rsidP="00B34761">
            <w:pPr>
              <w:jc w:val="both"/>
              <w:rPr>
                <w:rFonts w:ascii="Times New Roman" w:eastAsia="Aptos" w:hAnsi="Times New Roman" w:cs="Times New Roman"/>
                <w:b/>
                <w:bCs/>
              </w:rPr>
            </w:pPr>
            <w:r w:rsidRPr="00625B2F">
              <w:rPr>
                <w:rFonts w:ascii="Times New Roman" w:eastAsia="Aptos" w:hAnsi="Times New Roman" w:cs="Times New Roman"/>
              </w:rPr>
              <w:t xml:space="preserve">Seletuskirja täiendatud </w:t>
            </w:r>
            <w:proofErr w:type="spellStart"/>
            <w:r w:rsidRPr="00625B2F">
              <w:rPr>
                <w:rFonts w:ascii="Times New Roman" w:eastAsia="Aptos" w:hAnsi="Times New Roman" w:cs="Times New Roman"/>
              </w:rPr>
              <w:t>Eurojustist</w:t>
            </w:r>
            <w:proofErr w:type="spellEnd"/>
            <w:r w:rsidRPr="00625B2F">
              <w:rPr>
                <w:rFonts w:ascii="Times New Roman" w:eastAsia="Aptos" w:hAnsi="Times New Roman" w:cs="Times New Roman"/>
              </w:rPr>
              <w:t xml:space="preserve"> saadud teabega</w:t>
            </w:r>
            <w:r w:rsidR="005F53D9">
              <w:rPr>
                <w:rFonts w:ascii="Times New Roman" w:eastAsia="Aptos" w:hAnsi="Times New Roman" w:cs="Times New Roman"/>
              </w:rPr>
              <w:t xml:space="preserve"> teiste riikide võimalike regulatsioonide kohta</w:t>
            </w:r>
            <w:r w:rsidRPr="00625B2F">
              <w:rPr>
                <w:rFonts w:ascii="Times New Roman" w:eastAsia="Aptos" w:hAnsi="Times New Roman" w:cs="Times New Roman"/>
              </w:rPr>
              <w:t>.</w:t>
            </w:r>
            <w:r>
              <w:rPr>
                <w:rFonts w:ascii="Times New Roman" w:eastAsia="Aptos" w:hAnsi="Times New Roman" w:cs="Times New Roman"/>
                <w:b/>
                <w:bCs/>
              </w:rPr>
              <w:t xml:space="preserve"> </w:t>
            </w:r>
            <w:r w:rsidR="00C161FC">
              <w:rPr>
                <w:rFonts w:ascii="Times New Roman" w:eastAsia="Aptos" w:hAnsi="Times New Roman" w:cs="Times New Roman"/>
                <w:b/>
                <w:bCs/>
              </w:rPr>
              <w:t xml:space="preserve"> </w:t>
            </w:r>
            <w:r w:rsidR="003825A7">
              <w:rPr>
                <w:rFonts w:ascii="Times New Roman" w:eastAsia="Aptos" w:hAnsi="Times New Roman" w:cs="Times New Roman"/>
                <w:b/>
                <w:bCs/>
              </w:rPr>
              <w:t xml:space="preserve"> </w:t>
            </w:r>
          </w:p>
        </w:tc>
      </w:tr>
      <w:tr w:rsidR="00E41BBF" w:rsidRPr="00B34761" w14:paraId="578427A8" w14:textId="77777777" w:rsidTr="00AC295D">
        <w:tc>
          <w:tcPr>
            <w:tcW w:w="556" w:type="dxa"/>
          </w:tcPr>
          <w:p w14:paraId="30BF6B39" w14:textId="7C1E2382" w:rsidR="00B35F27" w:rsidRPr="00B34761" w:rsidRDefault="009B7404" w:rsidP="00B34761">
            <w:pPr>
              <w:jc w:val="both"/>
              <w:rPr>
                <w:rFonts w:ascii="Times New Roman" w:eastAsia="Aptos" w:hAnsi="Times New Roman" w:cs="Times New Roman"/>
                <w:b/>
                <w:bCs/>
              </w:rPr>
            </w:pPr>
            <w:r>
              <w:rPr>
                <w:rFonts w:ascii="Times New Roman" w:eastAsia="Aptos" w:hAnsi="Times New Roman" w:cs="Times New Roman"/>
                <w:b/>
                <w:bCs/>
              </w:rPr>
              <w:t>2.</w:t>
            </w:r>
          </w:p>
        </w:tc>
        <w:tc>
          <w:tcPr>
            <w:tcW w:w="1566" w:type="dxa"/>
          </w:tcPr>
          <w:p w14:paraId="3A814173" w14:textId="77777777" w:rsidR="00B35F27" w:rsidRPr="00B34761" w:rsidRDefault="00B35F27" w:rsidP="00B34761">
            <w:pPr>
              <w:jc w:val="both"/>
              <w:rPr>
                <w:rFonts w:ascii="Times New Roman" w:eastAsia="Aptos" w:hAnsi="Times New Roman" w:cs="Times New Roman"/>
                <w:b/>
                <w:bCs/>
              </w:rPr>
            </w:pPr>
          </w:p>
        </w:tc>
        <w:tc>
          <w:tcPr>
            <w:tcW w:w="4536" w:type="dxa"/>
          </w:tcPr>
          <w:p w14:paraId="0BB8A728" w14:textId="0110FAC9" w:rsidR="00B35F27" w:rsidRPr="00B34761" w:rsidRDefault="006466E1" w:rsidP="00B34761">
            <w:pPr>
              <w:jc w:val="both"/>
              <w:rPr>
                <w:rFonts w:ascii="Times New Roman" w:eastAsia="Aptos" w:hAnsi="Times New Roman" w:cs="Times New Roman"/>
              </w:rPr>
            </w:pPr>
            <w:r w:rsidRPr="006466E1">
              <w:rPr>
                <w:rFonts w:ascii="Times New Roman" w:eastAsia="Aptos" w:hAnsi="Times New Roman" w:cs="Times New Roman"/>
              </w:rPr>
              <w:t xml:space="preserve">Eelnõu punkti 23 kohaselt täiendatakse </w:t>
            </w:r>
            <w:proofErr w:type="spellStart"/>
            <w:r w:rsidRPr="006466E1">
              <w:rPr>
                <w:rFonts w:ascii="Times New Roman" w:eastAsia="Aptos" w:hAnsi="Times New Roman" w:cs="Times New Roman"/>
              </w:rPr>
              <w:t>ProkS</w:t>
            </w:r>
            <w:proofErr w:type="spellEnd"/>
            <w:r w:rsidRPr="006466E1">
              <w:rPr>
                <w:rFonts w:ascii="Times New Roman" w:eastAsia="Aptos" w:hAnsi="Times New Roman" w:cs="Times New Roman"/>
              </w:rPr>
              <w:t xml:space="preserve"> §-i 18 lõikega 3</w:t>
            </w:r>
            <w:r w:rsidRPr="006466E1">
              <w:rPr>
                <w:rFonts w:ascii="Times New Roman" w:eastAsia="Aptos" w:hAnsi="Times New Roman" w:cs="Times New Roman"/>
                <w:vertAlign w:val="superscript"/>
              </w:rPr>
              <w:t>1</w:t>
            </w:r>
            <w:r w:rsidRPr="006466E1">
              <w:rPr>
                <w:rFonts w:ascii="Times New Roman" w:eastAsia="Aptos" w:hAnsi="Times New Roman" w:cs="Times New Roman"/>
              </w:rPr>
              <w:t xml:space="preserve"> , mille kohaselt võib prokuröri ametikohale nimetada isiku avalikku konkurssi korraldamata, kui ta vastab seaduses toodud nõuetele ja on tegutsenud vähemalt kolm aastat vandeadvokaadina, kohtunikuna, sh Euroopa Kohtus, Euroopa Inimõiguste Kohtus, Euroopa Liidu </w:t>
            </w:r>
            <w:proofErr w:type="spellStart"/>
            <w:r w:rsidRPr="006466E1">
              <w:rPr>
                <w:rFonts w:ascii="Times New Roman" w:eastAsia="Aptos" w:hAnsi="Times New Roman" w:cs="Times New Roman"/>
              </w:rPr>
              <w:t>Üldkohtus</w:t>
            </w:r>
            <w:proofErr w:type="spellEnd"/>
            <w:r w:rsidRPr="006466E1">
              <w:rPr>
                <w:rFonts w:ascii="Times New Roman" w:eastAsia="Aptos" w:hAnsi="Times New Roman" w:cs="Times New Roman"/>
              </w:rPr>
              <w:t xml:space="preserve"> või õiguskantslerina, samuti sätte lõikes 3 nimetatud prokurörina. Prokuratuuri hinnangul on muudatus oluline eriala spetsialistide prokuratuuri suundumise soodustamiseks. Samas teeb prokuratuur ettepaneku täiendada sätet selliselt, et isiku tegutsemisest vandeadvokaadina, kohtunikuna, õiguskantslerina või </w:t>
            </w:r>
            <w:r w:rsidRPr="006466E1">
              <w:rPr>
                <w:rFonts w:ascii="Times New Roman" w:eastAsia="Aptos" w:hAnsi="Times New Roman" w:cs="Times New Roman"/>
              </w:rPr>
              <w:lastRenderedPageBreak/>
              <w:t xml:space="preserve">prokurörina ei tohi olla möödunud rohkem kui kuus aastat. Analoogne kitsendus on sätestatud nii </w:t>
            </w:r>
            <w:proofErr w:type="spellStart"/>
            <w:r w:rsidRPr="006466E1">
              <w:rPr>
                <w:rFonts w:ascii="Times New Roman" w:eastAsia="Aptos" w:hAnsi="Times New Roman" w:cs="Times New Roman"/>
              </w:rPr>
              <w:t>AdvS</w:t>
            </w:r>
            <w:proofErr w:type="spellEnd"/>
            <w:r w:rsidRPr="006466E1">
              <w:rPr>
                <w:rFonts w:ascii="Times New Roman" w:eastAsia="Aptos" w:hAnsi="Times New Roman" w:cs="Times New Roman"/>
              </w:rPr>
              <w:t xml:space="preserve"> § 26 lõike 3 punktis 3 ja lõikes 3</w:t>
            </w:r>
            <w:r w:rsidRPr="006466E1">
              <w:rPr>
                <w:rFonts w:ascii="Times New Roman" w:eastAsia="Aptos" w:hAnsi="Times New Roman" w:cs="Times New Roman"/>
                <w:vertAlign w:val="superscript"/>
              </w:rPr>
              <w:t>1</w:t>
            </w:r>
            <w:r w:rsidRPr="006466E1">
              <w:rPr>
                <w:rFonts w:ascii="Times New Roman" w:eastAsia="Aptos" w:hAnsi="Times New Roman" w:cs="Times New Roman"/>
              </w:rPr>
              <w:t xml:space="preserve"> , samuti KS § 66 lõikes 6. Seega on prokuratuuri hinnangul põhjendatud muuta </w:t>
            </w:r>
            <w:proofErr w:type="spellStart"/>
            <w:r w:rsidRPr="006466E1">
              <w:rPr>
                <w:rFonts w:ascii="Times New Roman" w:eastAsia="Aptos" w:hAnsi="Times New Roman" w:cs="Times New Roman"/>
              </w:rPr>
              <w:t>ProkS</w:t>
            </w:r>
            <w:proofErr w:type="spellEnd"/>
            <w:r w:rsidRPr="006466E1">
              <w:rPr>
                <w:rFonts w:ascii="Times New Roman" w:eastAsia="Aptos" w:hAnsi="Times New Roman" w:cs="Times New Roman"/>
              </w:rPr>
              <w:t xml:space="preserve"> § 18 lõike 3</w:t>
            </w:r>
            <w:r w:rsidRPr="006466E1">
              <w:rPr>
                <w:rFonts w:ascii="Times New Roman" w:eastAsia="Aptos" w:hAnsi="Times New Roman" w:cs="Times New Roman"/>
                <w:vertAlign w:val="superscript"/>
              </w:rPr>
              <w:t>1</w:t>
            </w:r>
            <w:r w:rsidRPr="006466E1">
              <w:rPr>
                <w:rFonts w:ascii="Times New Roman" w:eastAsia="Aptos" w:hAnsi="Times New Roman" w:cs="Times New Roman"/>
              </w:rPr>
              <w:t xml:space="preserve"> sõnastust nii, et kolmeaastasest töö- või ametikohal tegutsemisest ei tohi olla möödunud kuus aastat</w:t>
            </w:r>
          </w:p>
        </w:tc>
        <w:tc>
          <w:tcPr>
            <w:tcW w:w="3260" w:type="dxa"/>
          </w:tcPr>
          <w:p w14:paraId="45F15CDB" w14:textId="4E463692" w:rsidR="00B35F27" w:rsidRPr="00B34761" w:rsidRDefault="006466E1" w:rsidP="00B34761">
            <w:pPr>
              <w:jc w:val="both"/>
              <w:rPr>
                <w:rFonts w:ascii="Times New Roman" w:eastAsia="Aptos" w:hAnsi="Times New Roman" w:cs="Times New Roman"/>
                <w:b/>
                <w:bCs/>
              </w:rPr>
            </w:pPr>
            <w:r>
              <w:rPr>
                <w:rFonts w:ascii="Times New Roman" w:eastAsia="Aptos" w:hAnsi="Times New Roman" w:cs="Times New Roman"/>
                <w:b/>
                <w:bCs/>
              </w:rPr>
              <w:lastRenderedPageBreak/>
              <w:t xml:space="preserve">Arvestatud osaliselt. </w:t>
            </w:r>
            <w:proofErr w:type="spellStart"/>
            <w:r w:rsidR="00532C62" w:rsidRPr="000729DB">
              <w:rPr>
                <w:rFonts w:ascii="Times New Roman" w:eastAsia="Aptos" w:hAnsi="Times New Roman" w:cs="Times New Roman"/>
              </w:rPr>
              <w:t>ProkS</w:t>
            </w:r>
            <w:proofErr w:type="spellEnd"/>
            <w:r w:rsidR="00532C62" w:rsidRPr="000729DB">
              <w:rPr>
                <w:rFonts w:ascii="Times New Roman" w:eastAsia="Aptos" w:hAnsi="Times New Roman" w:cs="Times New Roman"/>
              </w:rPr>
              <w:t xml:space="preserve"> § 18 lõikesse 3</w:t>
            </w:r>
            <w:r w:rsidR="00532C62" w:rsidRPr="00772610">
              <w:rPr>
                <w:rFonts w:ascii="Times New Roman" w:eastAsia="Aptos" w:hAnsi="Times New Roman" w:cs="Times New Roman"/>
                <w:vertAlign w:val="superscript"/>
              </w:rPr>
              <w:t>1</w:t>
            </w:r>
            <w:r w:rsidR="00532C62" w:rsidRPr="000729DB">
              <w:rPr>
                <w:rFonts w:ascii="Times New Roman" w:eastAsia="Aptos" w:hAnsi="Times New Roman" w:cs="Times New Roman"/>
              </w:rPr>
              <w:t xml:space="preserve"> lisatud </w:t>
            </w:r>
            <w:r w:rsidR="000729DB" w:rsidRPr="000729DB">
              <w:rPr>
                <w:rFonts w:ascii="Times New Roman" w:eastAsia="Aptos" w:hAnsi="Times New Roman" w:cs="Times New Roman"/>
              </w:rPr>
              <w:t>ajaline piirang viis aastat, võttes eeskujuks advokatuuriseaduse § 26 lõike 3 punkti 3</w:t>
            </w:r>
            <w:r w:rsidR="00501734">
              <w:rPr>
                <w:rFonts w:ascii="Times New Roman" w:eastAsia="Aptos" w:hAnsi="Times New Roman" w:cs="Times New Roman"/>
              </w:rPr>
              <w:t xml:space="preserve"> ning lõike </w:t>
            </w:r>
            <w:r w:rsidR="00F350E7">
              <w:rPr>
                <w:rFonts w:ascii="Times New Roman" w:eastAsia="Aptos" w:hAnsi="Times New Roman" w:cs="Times New Roman"/>
              </w:rPr>
              <w:t>3</w:t>
            </w:r>
            <w:r w:rsidR="00F350E7" w:rsidRPr="00F350E7">
              <w:rPr>
                <w:rFonts w:ascii="Times New Roman" w:eastAsia="Aptos" w:hAnsi="Times New Roman" w:cs="Times New Roman"/>
                <w:vertAlign w:val="superscript"/>
              </w:rPr>
              <w:t>1</w:t>
            </w:r>
            <w:r w:rsidR="000729DB" w:rsidRPr="000729DB">
              <w:rPr>
                <w:rFonts w:ascii="Times New Roman" w:eastAsia="Aptos" w:hAnsi="Times New Roman" w:cs="Times New Roman"/>
              </w:rPr>
              <w:t>, milles on sätestatud piiranguks viis aastat.</w:t>
            </w:r>
            <w:r w:rsidR="000729DB">
              <w:rPr>
                <w:rFonts w:ascii="Times New Roman" w:eastAsia="Aptos" w:hAnsi="Times New Roman" w:cs="Times New Roman"/>
              </w:rPr>
              <w:t xml:space="preserve"> </w:t>
            </w:r>
            <w:r w:rsidR="00924162">
              <w:rPr>
                <w:rFonts w:ascii="Times New Roman" w:eastAsia="Aptos" w:hAnsi="Times New Roman" w:cs="Times New Roman"/>
              </w:rPr>
              <w:t xml:space="preserve">Ei pea prokuröride osas põhjendatuks pikemat tähtaega. </w:t>
            </w:r>
          </w:p>
        </w:tc>
      </w:tr>
      <w:tr w:rsidR="00E41BBF" w:rsidRPr="00B34761" w14:paraId="7772866F" w14:textId="77777777" w:rsidTr="00AC295D">
        <w:tc>
          <w:tcPr>
            <w:tcW w:w="556" w:type="dxa"/>
          </w:tcPr>
          <w:p w14:paraId="77D21414" w14:textId="79A0D2E2" w:rsidR="00F350E7" w:rsidRPr="00B34761" w:rsidRDefault="009B7404" w:rsidP="00B34761">
            <w:pPr>
              <w:jc w:val="both"/>
              <w:rPr>
                <w:rFonts w:ascii="Times New Roman" w:eastAsia="Aptos" w:hAnsi="Times New Roman" w:cs="Times New Roman"/>
                <w:b/>
                <w:bCs/>
              </w:rPr>
            </w:pPr>
            <w:r>
              <w:rPr>
                <w:rFonts w:ascii="Times New Roman" w:eastAsia="Aptos" w:hAnsi="Times New Roman" w:cs="Times New Roman"/>
                <w:b/>
                <w:bCs/>
              </w:rPr>
              <w:t>3.</w:t>
            </w:r>
            <w:r w:rsidR="00625B2F">
              <w:rPr>
                <w:rFonts w:ascii="Times New Roman" w:eastAsia="Aptos" w:hAnsi="Times New Roman" w:cs="Times New Roman"/>
                <w:b/>
                <w:bCs/>
              </w:rPr>
              <w:t xml:space="preserve"> </w:t>
            </w:r>
          </w:p>
        </w:tc>
        <w:tc>
          <w:tcPr>
            <w:tcW w:w="1566" w:type="dxa"/>
          </w:tcPr>
          <w:p w14:paraId="51593B26" w14:textId="77777777" w:rsidR="00F350E7" w:rsidRPr="00B34761" w:rsidRDefault="00F350E7" w:rsidP="00B34761">
            <w:pPr>
              <w:jc w:val="both"/>
              <w:rPr>
                <w:rFonts w:ascii="Times New Roman" w:eastAsia="Aptos" w:hAnsi="Times New Roman" w:cs="Times New Roman"/>
                <w:b/>
                <w:bCs/>
              </w:rPr>
            </w:pPr>
          </w:p>
        </w:tc>
        <w:tc>
          <w:tcPr>
            <w:tcW w:w="4536" w:type="dxa"/>
          </w:tcPr>
          <w:p w14:paraId="673F129E" w14:textId="3BE7447B" w:rsidR="00F350E7" w:rsidRPr="006466E1" w:rsidRDefault="007B637C" w:rsidP="00B34761">
            <w:pPr>
              <w:jc w:val="both"/>
              <w:rPr>
                <w:rFonts w:ascii="Times New Roman" w:eastAsia="Aptos" w:hAnsi="Times New Roman" w:cs="Times New Roman"/>
              </w:rPr>
            </w:pPr>
            <w:r w:rsidRPr="007B637C">
              <w:rPr>
                <w:rFonts w:ascii="Times New Roman" w:eastAsia="Aptos" w:hAnsi="Times New Roman" w:cs="Times New Roman"/>
              </w:rPr>
              <w:t xml:space="preserve">Eelnõu punktidega 40 ja 41 täiendatakse </w:t>
            </w:r>
            <w:proofErr w:type="spellStart"/>
            <w:r w:rsidRPr="007B637C">
              <w:rPr>
                <w:rFonts w:ascii="Times New Roman" w:eastAsia="Aptos" w:hAnsi="Times New Roman" w:cs="Times New Roman"/>
              </w:rPr>
              <w:t>ProkS</w:t>
            </w:r>
            <w:proofErr w:type="spellEnd"/>
            <w:r w:rsidRPr="007B637C">
              <w:rPr>
                <w:rFonts w:ascii="Times New Roman" w:eastAsia="Aptos" w:hAnsi="Times New Roman" w:cs="Times New Roman"/>
              </w:rPr>
              <w:t xml:space="preserve"> §-i 50. Lõike 1 kohaselt on võimalik riigi peaprokurör, juhtiv riigiprokurör või juhtivprokurör ametiaja lõppemisel nimetada riigiprokuröriks või ringkonnaprokuröriks avaliku konkursita, kui ta esitab vastava avalduse. Lõige 1</w:t>
            </w:r>
            <w:r w:rsidRPr="00CA2E5C">
              <w:rPr>
                <w:rFonts w:ascii="Times New Roman" w:eastAsia="Aptos" w:hAnsi="Times New Roman" w:cs="Times New Roman"/>
                <w:vertAlign w:val="superscript"/>
              </w:rPr>
              <w:t>1</w:t>
            </w:r>
            <w:r w:rsidRPr="007B637C">
              <w:rPr>
                <w:rFonts w:ascii="Times New Roman" w:eastAsia="Aptos" w:hAnsi="Times New Roman" w:cs="Times New Roman"/>
              </w:rPr>
              <w:t xml:space="preserve"> näeb ette võimaluse nimetada vanemprokurör ametiaja lõppemisel avaliku konkursita ringkonnaprokuröriks või riigiprokuröriks. Samas ei eelda viimane säte vastavasisulise avalduse esitamist sarnaselt lõikele 1. Prokuratuuri arvates tuleks lõiget 1</w:t>
            </w:r>
            <w:r w:rsidRPr="00CA2E5C">
              <w:rPr>
                <w:rFonts w:ascii="Times New Roman" w:eastAsia="Aptos" w:hAnsi="Times New Roman" w:cs="Times New Roman"/>
                <w:vertAlign w:val="superscript"/>
              </w:rPr>
              <w:t>1</w:t>
            </w:r>
            <w:r w:rsidRPr="007B637C">
              <w:rPr>
                <w:rFonts w:ascii="Times New Roman" w:eastAsia="Aptos" w:hAnsi="Times New Roman" w:cs="Times New Roman"/>
              </w:rPr>
              <w:t xml:space="preserve"> täiendada, nähes ette avalduse esitamise enne isiku nimetamist riigiprokuröri või ringkonnaprokuröri ametikohale. Samuti on prokuratuuri hinnangul oluline võimaldada tähtajaliselt juhi ametikohalt lahkudes soovi korral jätkata ka abiprokuröri ametikohal.</w:t>
            </w:r>
          </w:p>
        </w:tc>
        <w:tc>
          <w:tcPr>
            <w:tcW w:w="3260" w:type="dxa"/>
          </w:tcPr>
          <w:p w14:paraId="12DCB96D" w14:textId="77777777" w:rsidR="00646105" w:rsidRDefault="00CA2E5C" w:rsidP="00B34761">
            <w:pPr>
              <w:jc w:val="both"/>
              <w:rPr>
                <w:rFonts w:ascii="Times New Roman" w:eastAsia="Aptos" w:hAnsi="Times New Roman" w:cs="Times New Roman"/>
                <w:b/>
                <w:bCs/>
              </w:rPr>
            </w:pPr>
            <w:r>
              <w:rPr>
                <w:rFonts w:ascii="Times New Roman" w:eastAsia="Aptos" w:hAnsi="Times New Roman" w:cs="Times New Roman"/>
                <w:b/>
                <w:bCs/>
              </w:rPr>
              <w:t xml:space="preserve">Arvestatud. </w:t>
            </w:r>
          </w:p>
          <w:p w14:paraId="466CBFAD" w14:textId="6BBED420" w:rsidR="00F350E7" w:rsidRDefault="00CA2E5C" w:rsidP="00B34761">
            <w:pPr>
              <w:jc w:val="both"/>
              <w:rPr>
                <w:rFonts w:ascii="Times New Roman" w:eastAsia="Aptos" w:hAnsi="Times New Roman" w:cs="Times New Roman"/>
                <w:b/>
                <w:bCs/>
              </w:rPr>
            </w:pPr>
            <w:proofErr w:type="spellStart"/>
            <w:r w:rsidRPr="002F4FE8">
              <w:rPr>
                <w:rFonts w:ascii="Times New Roman" w:eastAsia="Aptos" w:hAnsi="Times New Roman" w:cs="Times New Roman"/>
              </w:rPr>
              <w:t>ProkS</w:t>
            </w:r>
            <w:proofErr w:type="spellEnd"/>
            <w:r w:rsidRPr="002F4FE8">
              <w:rPr>
                <w:rFonts w:ascii="Times New Roman" w:eastAsia="Aptos" w:hAnsi="Times New Roman" w:cs="Times New Roman"/>
              </w:rPr>
              <w:t xml:space="preserve"> § </w:t>
            </w:r>
            <w:r w:rsidR="00304563" w:rsidRPr="002F4FE8">
              <w:rPr>
                <w:rFonts w:ascii="Times New Roman" w:eastAsia="Aptos" w:hAnsi="Times New Roman" w:cs="Times New Roman"/>
              </w:rPr>
              <w:t>50 lõikesse 1</w:t>
            </w:r>
            <w:r w:rsidR="00304563" w:rsidRPr="002F4FE8">
              <w:rPr>
                <w:rFonts w:ascii="Times New Roman" w:eastAsia="Aptos" w:hAnsi="Times New Roman" w:cs="Times New Roman"/>
                <w:vertAlign w:val="superscript"/>
              </w:rPr>
              <w:t>1</w:t>
            </w:r>
            <w:r w:rsidR="00304563" w:rsidRPr="002F4FE8">
              <w:rPr>
                <w:rFonts w:ascii="Times New Roman" w:eastAsia="Aptos" w:hAnsi="Times New Roman" w:cs="Times New Roman"/>
              </w:rPr>
              <w:t xml:space="preserve"> lisatud</w:t>
            </w:r>
            <w:r w:rsidR="002F4FE8" w:rsidRPr="002F4FE8">
              <w:rPr>
                <w:rFonts w:ascii="Times New Roman" w:eastAsia="Aptos" w:hAnsi="Times New Roman" w:cs="Times New Roman"/>
              </w:rPr>
              <w:t xml:space="preserve"> avalduse nõue ning võimalus nimetada</w:t>
            </w:r>
            <w:r w:rsidR="00E00D45">
              <w:rPr>
                <w:rFonts w:ascii="Times New Roman" w:eastAsia="Aptos" w:hAnsi="Times New Roman" w:cs="Times New Roman"/>
              </w:rPr>
              <w:t xml:space="preserve"> </w:t>
            </w:r>
            <w:r w:rsidR="00727E6E">
              <w:rPr>
                <w:rFonts w:ascii="Times New Roman" w:eastAsia="Aptos" w:hAnsi="Times New Roman" w:cs="Times New Roman"/>
              </w:rPr>
              <w:t>vanemprokurör soovi korral</w:t>
            </w:r>
            <w:r w:rsidR="002F4FE8" w:rsidRPr="002F4FE8">
              <w:rPr>
                <w:rFonts w:ascii="Times New Roman" w:eastAsia="Aptos" w:hAnsi="Times New Roman" w:cs="Times New Roman"/>
              </w:rPr>
              <w:t xml:space="preserve"> ka abiprokuröriks:</w:t>
            </w:r>
            <w:r w:rsidR="002F4FE8">
              <w:rPr>
                <w:rFonts w:ascii="Times New Roman" w:eastAsia="Aptos" w:hAnsi="Times New Roman" w:cs="Times New Roman"/>
                <w:b/>
                <w:bCs/>
              </w:rPr>
              <w:t xml:space="preserve"> </w:t>
            </w:r>
          </w:p>
          <w:p w14:paraId="51DA7605" w14:textId="77777777" w:rsidR="00304563" w:rsidRDefault="00304563" w:rsidP="00B34761">
            <w:pPr>
              <w:jc w:val="both"/>
              <w:rPr>
                <w:rFonts w:ascii="Times New Roman" w:eastAsia="Aptos" w:hAnsi="Times New Roman" w:cs="Times New Roman"/>
                <w:b/>
                <w:bCs/>
              </w:rPr>
            </w:pPr>
          </w:p>
          <w:p w14:paraId="79BA343A" w14:textId="7F485B48" w:rsidR="00304563" w:rsidRPr="002F4FE8" w:rsidRDefault="00304563" w:rsidP="00B34761">
            <w:pPr>
              <w:jc w:val="both"/>
              <w:rPr>
                <w:rFonts w:ascii="Times New Roman" w:eastAsia="Aptos" w:hAnsi="Times New Roman" w:cs="Times New Roman"/>
              </w:rPr>
            </w:pPr>
            <w:r w:rsidRPr="002F4FE8">
              <w:rPr>
                <w:rFonts w:ascii="Times New Roman" w:eastAsia="Aptos" w:hAnsi="Times New Roman" w:cs="Times New Roman"/>
              </w:rPr>
              <w:t>„(1</w:t>
            </w:r>
            <w:r w:rsidRPr="002F4FE8">
              <w:rPr>
                <w:rFonts w:ascii="Times New Roman" w:eastAsia="Aptos" w:hAnsi="Times New Roman" w:cs="Times New Roman"/>
                <w:vertAlign w:val="superscript"/>
              </w:rPr>
              <w:t>1</w:t>
            </w:r>
            <w:r w:rsidRPr="002F4FE8">
              <w:rPr>
                <w:rFonts w:ascii="Times New Roman" w:eastAsia="Aptos" w:hAnsi="Times New Roman" w:cs="Times New Roman"/>
              </w:rPr>
              <w:t xml:space="preserve">) Ametiaja lõppemisel vabastab riigi peaprokurör vanemprokuröri ametist ning nimetab ta </w:t>
            </w:r>
            <w:r w:rsidRPr="002F4FE8">
              <w:rPr>
                <w:rFonts w:ascii="Times New Roman" w:eastAsia="Aptos" w:hAnsi="Times New Roman" w:cs="Times New Roman"/>
                <w:u w:val="single"/>
              </w:rPr>
              <w:t>tema avalduse alusel</w:t>
            </w:r>
            <w:r w:rsidRPr="002F4FE8">
              <w:rPr>
                <w:rFonts w:ascii="Times New Roman" w:eastAsia="Aptos" w:hAnsi="Times New Roman" w:cs="Times New Roman"/>
              </w:rPr>
              <w:t xml:space="preserve"> avaliku konkursita ringkonnaprokuröriks </w:t>
            </w:r>
            <w:r w:rsidRPr="002F4FE8">
              <w:rPr>
                <w:rFonts w:ascii="Times New Roman" w:eastAsia="Aptos" w:hAnsi="Times New Roman" w:cs="Times New Roman"/>
                <w:u w:val="single"/>
              </w:rPr>
              <w:t>või abiprokuröriks</w:t>
            </w:r>
            <w:r w:rsidR="002F4FE8">
              <w:rPr>
                <w:rFonts w:ascii="Times New Roman" w:eastAsia="Aptos" w:hAnsi="Times New Roman" w:cs="Times New Roman"/>
                <w:u w:val="single"/>
              </w:rPr>
              <w:t>.“</w:t>
            </w:r>
          </w:p>
        </w:tc>
      </w:tr>
      <w:tr w:rsidR="00E41BBF" w:rsidRPr="00B34761" w14:paraId="6B8F9CAF" w14:textId="77777777" w:rsidTr="007B6185">
        <w:trPr>
          <w:trHeight w:val="1322"/>
        </w:trPr>
        <w:tc>
          <w:tcPr>
            <w:tcW w:w="556" w:type="dxa"/>
          </w:tcPr>
          <w:p w14:paraId="7E652DF9" w14:textId="2564613E" w:rsidR="000230AD" w:rsidRPr="00B34761" w:rsidRDefault="009B7404" w:rsidP="00B34761">
            <w:pPr>
              <w:jc w:val="both"/>
              <w:rPr>
                <w:rFonts w:ascii="Times New Roman" w:eastAsia="Aptos" w:hAnsi="Times New Roman" w:cs="Times New Roman"/>
                <w:b/>
                <w:bCs/>
              </w:rPr>
            </w:pPr>
            <w:r>
              <w:rPr>
                <w:rFonts w:ascii="Times New Roman" w:eastAsia="Aptos" w:hAnsi="Times New Roman" w:cs="Times New Roman"/>
                <w:b/>
                <w:bCs/>
              </w:rPr>
              <w:t>4.</w:t>
            </w:r>
            <w:r w:rsidR="00625B2F">
              <w:rPr>
                <w:rFonts w:ascii="Times New Roman" w:eastAsia="Aptos" w:hAnsi="Times New Roman" w:cs="Times New Roman"/>
                <w:b/>
                <w:bCs/>
              </w:rPr>
              <w:t xml:space="preserve"> </w:t>
            </w:r>
          </w:p>
        </w:tc>
        <w:tc>
          <w:tcPr>
            <w:tcW w:w="1566" w:type="dxa"/>
          </w:tcPr>
          <w:p w14:paraId="0AA19D60" w14:textId="77777777" w:rsidR="000230AD" w:rsidRPr="00B34761" w:rsidRDefault="000230AD" w:rsidP="00B34761">
            <w:pPr>
              <w:jc w:val="both"/>
              <w:rPr>
                <w:rFonts w:ascii="Times New Roman" w:eastAsia="Aptos" w:hAnsi="Times New Roman" w:cs="Times New Roman"/>
                <w:b/>
                <w:bCs/>
              </w:rPr>
            </w:pPr>
          </w:p>
        </w:tc>
        <w:tc>
          <w:tcPr>
            <w:tcW w:w="4536" w:type="dxa"/>
          </w:tcPr>
          <w:p w14:paraId="751F1F59" w14:textId="0F99CB01" w:rsidR="00AC295D" w:rsidRPr="007B637C" w:rsidRDefault="000230AD" w:rsidP="00B34761">
            <w:pPr>
              <w:jc w:val="both"/>
              <w:rPr>
                <w:rFonts w:ascii="Times New Roman" w:eastAsia="Aptos" w:hAnsi="Times New Roman" w:cs="Times New Roman"/>
              </w:rPr>
            </w:pPr>
            <w:r w:rsidRPr="000230AD">
              <w:rPr>
                <w:rFonts w:ascii="Times New Roman" w:eastAsia="Aptos" w:hAnsi="Times New Roman" w:cs="Times New Roman"/>
              </w:rPr>
              <w:t>Prokuratuur juhib tähelepanu, et eelnõu viimases punktis (51) esineb § 53</w:t>
            </w:r>
            <w:r w:rsidRPr="000230AD">
              <w:rPr>
                <w:rFonts w:ascii="Times New Roman" w:eastAsia="Aptos" w:hAnsi="Times New Roman" w:cs="Times New Roman"/>
                <w:vertAlign w:val="superscript"/>
              </w:rPr>
              <w:t>4</w:t>
            </w:r>
            <w:r w:rsidRPr="000230AD">
              <w:rPr>
                <w:rFonts w:ascii="Times New Roman" w:eastAsia="Aptos" w:hAnsi="Times New Roman" w:cs="Times New Roman"/>
              </w:rPr>
              <w:t xml:space="preserve"> lõigetes 2 ja 3 kirjaviga: sõna „nimetatud“ asemel on kasutatud sõna „nimetud“.</w:t>
            </w:r>
          </w:p>
        </w:tc>
        <w:tc>
          <w:tcPr>
            <w:tcW w:w="3260" w:type="dxa"/>
          </w:tcPr>
          <w:p w14:paraId="11919106" w14:textId="77777777" w:rsidR="00646105" w:rsidRDefault="000230AD" w:rsidP="00B34761">
            <w:pPr>
              <w:jc w:val="both"/>
              <w:rPr>
                <w:rFonts w:ascii="Times New Roman" w:eastAsia="Aptos" w:hAnsi="Times New Roman" w:cs="Times New Roman"/>
                <w:b/>
                <w:bCs/>
              </w:rPr>
            </w:pPr>
            <w:r>
              <w:rPr>
                <w:rFonts w:ascii="Times New Roman" w:eastAsia="Aptos" w:hAnsi="Times New Roman" w:cs="Times New Roman"/>
                <w:b/>
                <w:bCs/>
              </w:rPr>
              <w:t xml:space="preserve">Arvestatud. </w:t>
            </w:r>
          </w:p>
          <w:p w14:paraId="4602915E" w14:textId="64DCBB72" w:rsidR="000230AD" w:rsidRDefault="003755D7" w:rsidP="00B34761">
            <w:pPr>
              <w:jc w:val="both"/>
              <w:rPr>
                <w:rFonts w:ascii="Times New Roman" w:eastAsia="Aptos" w:hAnsi="Times New Roman" w:cs="Times New Roman"/>
                <w:b/>
                <w:bCs/>
              </w:rPr>
            </w:pPr>
            <w:proofErr w:type="spellStart"/>
            <w:r w:rsidRPr="003755D7">
              <w:rPr>
                <w:rFonts w:ascii="Times New Roman" w:eastAsia="Aptos" w:hAnsi="Times New Roman" w:cs="Times New Roman"/>
              </w:rPr>
              <w:t>ProkS</w:t>
            </w:r>
            <w:proofErr w:type="spellEnd"/>
            <w:r w:rsidRPr="003755D7">
              <w:rPr>
                <w:rFonts w:ascii="Times New Roman" w:eastAsia="Aptos" w:hAnsi="Times New Roman" w:cs="Times New Roman"/>
              </w:rPr>
              <w:t xml:space="preserve"> § 53</w:t>
            </w:r>
            <w:r w:rsidRPr="003755D7">
              <w:rPr>
                <w:rFonts w:ascii="Times New Roman" w:eastAsia="Aptos" w:hAnsi="Times New Roman" w:cs="Times New Roman"/>
                <w:vertAlign w:val="superscript"/>
              </w:rPr>
              <w:t>4</w:t>
            </w:r>
            <w:r w:rsidRPr="003755D7">
              <w:rPr>
                <w:rFonts w:ascii="Times New Roman" w:eastAsia="Aptos" w:hAnsi="Times New Roman" w:cs="Times New Roman"/>
              </w:rPr>
              <w:t xml:space="preserve"> lõigetes 2 ja 3 kirjaviga parandatud</w:t>
            </w:r>
            <w:r w:rsidR="00646105">
              <w:rPr>
                <w:rFonts w:ascii="Times New Roman" w:eastAsia="Aptos" w:hAnsi="Times New Roman" w:cs="Times New Roman"/>
              </w:rPr>
              <w:t>.</w:t>
            </w:r>
            <w:r>
              <w:rPr>
                <w:rFonts w:ascii="Times New Roman" w:eastAsia="Aptos" w:hAnsi="Times New Roman" w:cs="Times New Roman"/>
              </w:rPr>
              <w:t xml:space="preserve"> </w:t>
            </w:r>
          </w:p>
        </w:tc>
      </w:tr>
      <w:tr w:rsidR="00E41BBF" w:rsidRPr="00B34761" w14:paraId="7063983B" w14:textId="77777777" w:rsidTr="00AC295D">
        <w:tc>
          <w:tcPr>
            <w:tcW w:w="556" w:type="dxa"/>
          </w:tcPr>
          <w:p w14:paraId="098BBB8C" w14:textId="3DC49F2A" w:rsidR="008B645D" w:rsidRPr="00B34761" w:rsidRDefault="009B7404" w:rsidP="00B34761">
            <w:pPr>
              <w:jc w:val="both"/>
              <w:rPr>
                <w:rFonts w:ascii="Times New Roman" w:eastAsia="Aptos" w:hAnsi="Times New Roman" w:cs="Times New Roman"/>
                <w:b/>
                <w:bCs/>
              </w:rPr>
            </w:pPr>
            <w:r>
              <w:rPr>
                <w:rFonts w:ascii="Times New Roman" w:eastAsia="Aptos" w:hAnsi="Times New Roman" w:cs="Times New Roman"/>
                <w:b/>
                <w:bCs/>
              </w:rPr>
              <w:t>5.</w:t>
            </w:r>
          </w:p>
        </w:tc>
        <w:tc>
          <w:tcPr>
            <w:tcW w:w="1566" w:type="dxa"/>
          </w:tcPr>
          <w:p w14:paraId="50A6A6ED" w14:textId="77777777" w:rsidR="008B645D" w:rsidRPr="00B34761" w:rsidRDefault="008B645D" w:rsidP="00B34761">
            <w:pPr>
              <w:jc w:val="both"/>
              <w:rPr>
                <w:rFonts w:ascii="Times New Roman" w:eastAsia="Aptos" w:hAnsi="Times New Roman" w:cs="Times New Roman"/>
                <w:b/>
                <w:bCs/>
              </w:rPr>
            </w:pPr>
          </w:p>
        </w:tc>
        <w:tc>
          <w:tcPr>
            <w:tcW w:w="4536" w:type="dxa"/>
          </w:tcPr>
          <w:p w14:paraId="245EAD5D" w14:textId="796E4B40" w:rsidR="008B645D" w:rsidRPr="000230AD" w:rsidRDefault="008B645D" w:rsidP="00B34761">
            <w:pPr>
              <w:jc w:val="both"/>
              <w:rPr>
                <w:rFonts w:ascii="Times New Roman" w:eastAsia="Aptos" w:hAnsi="Times New Roman" w:cs="Times New Roman"/>
              </w:rPr>
            </w:pPr>
            <w:r w:rsidRPr="008B645D">
              <w:rPr>
                <w:rFonts w:ascii="Times New Roman" w:eastAsia="Aptos" w:hAnsi="Times New Roman" w:cs="Times New Roman"/>
              </w:rPr>
              <w:t xml:space="preserve">Lisaks eelnevale teeb prokuratuur ettepaneku tunnistada kehtetuks </w:t>
            </w:r>
            <w:proofErr w:type="spellStart"/>
            <w:r w:rsidRPr="008B645D">
              <w:rPr>
                <w:rFonts w:ascii="Times New Roman" w:eastAsia="Aptos" w:hAnsi="Times New Roman" w:cs="Times New Roman"/>
              </w:rPr>
              <w:t>ProkS</w:t>
            </w:r>
            <w:proofErr w:type="spellEnd"/>
            <w:r w:rsidRPr="008B645D">
              <w:rPr>
                <w:rFonts w:ascii="Times New Roman" w:eastAsia="Aptos" w:hAnsi="Times New Roman" w:cs="Times New Roman"/>
              </w:rPr>
              <w:t xml:space="preserve"> § 7 lõige 1. Nimetatud sätte kohaselt tegutseb abiprokurör riigi peaprokuröri, juhtiva riigiprokuröri, juhtivprokuröri, riigiprokuröri, vanemprokuröri, eriasjade prokuröri või ringkonnaprokuröri juhendamisel. Praktikas tegutseb abiprokurör peamiselt iseseisvalt ning taoline piirang ei ole põhjendatud.</w:t>
            </w:r>
          </w:p>
        </w:tc>
        <w:tc>
          <w:tcPr>
            <w:tcW w:w="3260" w:type="dxa"/>
          </w:tcPr>
          <w:p w14:paraId="142725C5" w14:textId="3E20C089" w:rsidR="00646105" w:rsidRDefault="008B645D" w:rsidP="00B34761">
            <w:pPr>
              <w:jc w:val="both"/>
              <w:rPr>
                <w:rFonts w:ascii="Times New Roman" w:eastAsia="Aptos" w:hAnsi="Times New Roman" w:cs="Times New Roman"/>
                <w:b/>
                <w:bCs/>
              </w:rPr>
            </w:pPr>
            <w:r>
              <w:rPr>
                <w:rFonts w:ascii="Times New Roman" w:eastAsia="Aptos" w:hAnsi="Times New Roman" w:cs="Times New Roman"/>
                <w:b/>
                <w:bCs/>
              </w:rPr>
              <w:t>Arvestatud</w:t>
            </w:r>
            <w:r w:rsidR="00AF4832">
              <w:rPr>
                <w:rFonts w:ascii="Times New Roman" w:eastAsia="Aptos" w:hAnsi="Times New Roman" w:cs="Times New Roman"/>
                <w:b/>
                <w:bCs/>
              </w:rPr>
              <w:t xml:space="preserve"> osaliselt. </w:t>
            </w:r>
            <w:r>
              <w:rPr>
                <w:rFonts w:ascii="Times New Roman" w:eastAsia="Aptos" w:hAnsi="Times New Roman" w:cs="Times New Roman"/>
                <w:b/>
                <w:bCs/>
              </w:rPr>
              <w:t xml:space="preserve"> </w:t>
            </w:r>
          </w:p>
          <w:p w14:paraId="5F2D8567" w14:textId="2A1BAD15" w:rsidR="008B645D" w:rsidRDefault="008B645D" w:rsidP="00B34761">
            <w:pPr>
              <w:jc w:val="both"/>
              <w:rPr>
                <w:rFonts w:ascii="Times New Roman" w:eastAsia="Aptos" w:hAnsi="Times New Roman" w:cs="Times New Roman"/>
                <w:b/>
                <w:bCs/>
              </w:rPr>
            </w:pPr>
            <w:proofErr w:type="spellStart"/>
            <w:r w:rsidRPr="003825A7">
              <w:rPr>
                <w:rFonts w:ascii="Times New Roman" w:eastAsia="Aptos" w:hAnsi="Times New Roman" w:cs="Times New Roman"/>
              </w:rPr>
              <w:t>ProkS</w:t>
            </w:r>
            <w:proofErr w:type="spellEnd"/>
            <w:r w:rsidRPr="003825A7">
              <w:rPr>
                <w:rFonts w:ascii="Times New Roman" w:eastAsia="Aptos" w:hAnsi="Times New Roman" w:cs="Times New Roman"/>
              </w:rPr>
              <w:t xml:space="preserve"> § </w:t>
            </w:r>
            <w:r w:rsidR="003825A7" w:rsidRPr="003825A7">
              <w:rPr>
                <w:rFonts w:ascii="Times New Roman" w:eastAsia="Aptos" w:hAnsi="Times New Roman" w:cs="Times New Roman"/>
              </w:rPr>
              <w:t>7 lõi</w:t>
            </w:r>
            <w:r w:rsidR="00877344">
              <w:rPr>
                <w:rFonts w:ascii="Times New Roman" w:eastAsia="Aptos" w:hAnsi="Times New Roman" w:cs="Times New Roman"/>
              </w:rPr>
              <w:t>ge</w:t>
            </w:r>
            <w:r w:rsidR="003825A7" w:rsidRPr="003825A7">
              <w:rPr>
                <w:rFonts w:ascii="Times New Roman" w:eastAsia="Aptos" w:hAnsi="Times New Roman" w:cs="Times New Roman"/>
              </w:rPr>
              <w:t xml:space="preserve"> 1 </w:t>
            </w:r>
            <w:r w:rsidR="00877344">
              <w:rPr>
                <w:rFonts w:ascii="Times New Roman" w:eastAsia="Aptos" w:hAnsi="Times New Roman" w:cs="Times New Roman"/>
              </w:rPr>
              <w:t>muudetakse</w:t>
            </w:r>
            <w:r w:rsidR="00C151CE">
              <w:rPr>
                <w:rFonts w:ascii="Times New Roman" w:eastAsia="Aptos" w:hAnsi="Times New Roman" w:cs="Times New Roman"/>
              </w:rPr>
              <w:t xml:space="preserve">. </w:t>
            </w:r>
            <w:r w:rsidR="005D5C5C">
              <w:rPr>
                <w:rFonts w:ascii="Times New Roman" w:eastAsia="Aptos" w:hAnsi="Times New Roman" w:cs="Times New Roman"/>
              </w:rPr>
              <w:t>Abiprokuröri puhul l</w:t>
            </w:r>
            <w:r w:rsidR="00C151CE">
              <w:rPr>
                <w:rFonts w:ascii="Times New Roman" w:eastAsia="Aptos" w:hAnsi="Times New Roman" w:cs="Times New Roman"/>
              </w:rPr>
              <w:t xml:space="preserve">oobutakse üldisest kohustusest tegutseda </w:t>
            </w:r>
            <w:r w:rsidR="00877344">
              <w:rPr>
                <w:rFonts w:ascii="Times New Roman" w:eastAsia="Aptos" w:hAnsi="Times New Roman" w:cs="Times New Roman"/>
              </w:rPr>
              <w:t xml:space="preserve"> </w:t>
            </w:r>
            <w:r w:rsidR="00C151CE" w:rsidRPr="00C151CE">
              <w:rPr>
                <w:rFonts w:ascii="Times New Roman" w:eastAsia="Aptos" w:hAnsi="Times New Roman" w:cs="Times New Roman"/>
              </w:rPr>
              <w:t xml:space="preserve">riigi peaprokuröri, juhtiva riigiprokuröri, juhtivprokuröri, riigiprokuröri, vanemprokuröri, eriasjade prokuröri või ringkonnaprokuröri juhendamisel. </w:t>
            </w:r>
            <w:r w:rsidR="00C151CE">
              <w:rPr>
                <w:rFonts w:ascii="Times New Roman" w:eastAsia="Aptos" w:hAnsi="Times New Roman" w:cs="Times New Roman"/>
              </w:rPr>
              <w:t>Küll aga</w:t>
            </w:r>
            <w:r w:rsidR="00877344">
              <w:rPr>
                <w:rFonts w:ascii="Times New Roman" w:eastAsia="Aptos" w:hAnsi="Times New Roman" w:cs="Times New Roman"/>
              </w:rPr>
              <w:t xml:space="preserve"> nähakse</w:t>
            </w:r>
            <w:r w:rsidR="00FF34C4">
              <w:rPr>
                <w:rFonts w:ascii="Times New Roman" w:eastAsia="Aptos" w:hAnsi="Times New Roman" w:cs="Times New Roman"/>
              </w:rPr>
              <w:t xml:space="preserve"> ette</w:t>
            </w:r>
            <w:r w:rsidR="00877344">
              <w:rPr>
                <w:rFonts w:ascii="Times New Roman" w:eastAsia="Aptos" w:hAnsi="Times New Roman" w:cs="Times New Roman"/>
              </w:rPr>
              <w:t xml:space="preserve"> </w:t>
            </w:r>
            <w:r w:rsidR="00EC1E35">
              <w:rPr>
                <w:rFonts w:ascii="Times New Roman" w:eastAsia="Aptos" w:hAnsi="Times New Roman" w:cs="Times New Roman"/>
              </w:rPr>
              <w:t xml:space="preserve">katseajal </w:t>
            </w:r>
            <w:r w:rsidR="00C151CE">
              <w:rPr>
                <w:rFonts w:ascii="Times New Roman" w:eastAsia="Aptos" w:hAnsi="Times New Roman" w:cs="Times New Roman"/>
              </w:rPr>
              <w:t xml:space="preserve">tegutsemine </w:t>
            </w:r>
            <w:r w:rsidR="00EC1E35">
              <w:rPr>
                <w:rFonts w:ascii="Times New Roman" w:eastAsia="Aptos" w:hAnsi="Times New Roman" w:cs="Times New Roman"/>
              </w:rPr>
              <w:t>kõrgemalseisva prokuröri juhendamisel.</w:t>
            </w:r>
            <w:r w:rsidR="00B34315">
              <w:rPr>
                <w:rFonts w:ascii="Times New Roman" w:eastAsia="Aptos" w:hAnsi="Times New Roman" w:cs="Times New Roman"/>
              </w:rPr>
              <w:t xml:space="preserve"> </w:t>
            </w:r>
            <w:r w:rsidR="003825A7">
              <w:rPr>
                <w:rFonts w:ascii="Times New Roman" w:eastAsia="Aptos" w:hAnsi="Times New Roman" w:cs="Times New Roman"/>
                <w:b/>
                <w:bCs/>
              </w:rPr>
              <w:t xml:space="preserve"> </w:t>
            </w:r>
          </w:p>
        </w:tc>
      </w:tr>
    </w:tbl>
    <w:p w14:paraId="5B73ADC2" w14:textId="77777777" w:rsidR="00B34761" w:rsidRDefault="00B34761"/>
    <w:sectPr w:rsidR="00B34761">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6AE360" w14:textId="77777777" w:rsidR="00830FF9" w:rsidRDefault="00830FF9" w:rsidP="009B2178">
      <w:pPr>
        <w:spacing w:after="0" w:line="240" w:lineRule="auto"/>
      </w:pPr>
      <w:r>
        <w:separator/>
      </w:r>
    </w:p>
  </w:endnote>
  <w:endnote w:type="continuationSeparator" w:id="0">
    <w:p w14:paraId="5E72DC6E" w14:textId="77777777" w:rsidR="00830FF9" w:rsidRDefault="00830FF9" w:rsidP="009B21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1329339"/>
      <w:docPartObj>
        <w:docPartGallery w:val="Page Numbers (Bottom of Page)"/>
        <w:docPartUnique/>
      </w:docPartObj>
    </w:sdtPr>
    <w:sdtContent>
      <w:p w14:paraId="2B494EBC" w14:textId="76C29E18" w:rsidR="00393163" w:rsidRDefault="00393163">
        <w:pPr>
          <w:pStyle w:val="Jalus"/>
          <w:jc w:val="center"/>
        </w:pPr>
        <w:r>
          <w:fldChar w:fldCharType="begin"/>
        </w:r>
        <w:r>
          <w:instrText>PAGE   \* MERGEFORMAT</w:instrText>
        </w:r>
        <w:r>
          <w:fldChar w:fldCharType="separate"/>
        </w:r>
        <w:r>
          <w:t>2</w:t>
        </w:r>
        <w:r>
          <w:fldChar w:fldCharType="end"/>
        </w:r>
      </w:p>
    </w:sdtContent>
  </w:sdt>
  <w:p w14:paraId="58B0D1A2" w14:textId="77777777" w:rsidR="00393163" w:rsidRDefault="00393163">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7817DE" w14:textId="77777777" w:rsidR="00830FF9" w:rsidRDefault="00830FF9" w:rsidP="009B2178">
      <w:pPr>
        <w:spacing w:after="0" w:line="240" w:lineRule="auto"/>
      </w:pPr>
      <w:r>
        <w:separator/>
      </w:r>
    </w:p>
  </w:footnote>
  <w:footnote w:type="continuationSeparator" w:id="0">
    <w:p w14:paraId="7B86938E" w14:textId="77777777" w:rsidR="00830FF9" w:rsidRDefault="00830FF9" w:rsidP="009B21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E27C3A"/>
    <w:multiLevelType w:val="hybridMultilevel"/>
    <w:tmpl w:val="FE60563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72A03627"/>
    <w:multiLevelType w:val="hybridMultilevel"/>
    <w:tmpl w:val="FE605634"/>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360134906">
    <w:abstractNumId w:val="1"/>
  </w:num>
  <w:num w:numId="2" w16cid:durableId="4829667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4761"/>
    <w:rsid w:val="000230AD"/>
    <w:rsid w:val="00040FD5"/>
    <w:rsid w:val="000729DB"/>
    <w:rsid w:val="00076104"/>
    <w:rsid w:val="00087456"/>
    <w:rsid w:val="00096B42"/>
    <w:rsid w:val="000974D4"/>
    <w:rsid w:val="000F4089"/>
    <w:rsid w:val="00107538"/>
    <w:rsid w:val="0013767F"/>
    <w:rsid w:val="00167D70"/>
    <w:rsid w:val="0020368C"/>
    <w:rsid w:val="00237E01"/>
    <w:rsid w:val="002A729D"/>
    <w:rsid w:val="002B47F6"/>
    <w:rsid w:val="002E74EF"/>
    <w:rsid w:val="002F4FE8"/>
    <w:rsid w:val="00304563"/>
    <w:rsid w:val="003134F5"/>
    <w:rsid w:val="003755D7"/>
    <w:rsid w:val="003825A7"/>
    <w:rsid w:val="0038656C"/>
    <w:rsid w:val="00393163"/>
    <w:rsid w:val="003A5D4C"/>
    <w:rsid w:val="003D7C34"/>
    <w:rsid w:val="003E2350"/>
    <w:rsid w:val="003F68F6"/>
    <w:rsid w:val="0040721F"/>
    <w:rsid w:val="004113F9"/>
    <w:rsid w:val="00434439"/>
    <w:rsid w:val="00435014"/>
    <w:rsid w:val="004552F4"/>
    <w:rsid w:val="004938AA"/>
    <w:rsid w:val="00494206"/>
    <w:rsid w:val="004E5315"/>
    <w:rsid w:val="00501734"/>
    <w:rsid w:val="00531257"/>
    <w:rsid w:val="00532C62"/>
    <w:rsid w:val="005426C1"/>
    <w:rsid w:val="00545E00"/>
    <w:rsid w:val="00563174"/>
    <w:rsid w:val="00595A88"/>
    <w:rsid w:val="005A7A88"/>
    <w:rsid w:val="005D5C5C"/>
    <w:rsid w:val="005D6024"/>
    <w:rsid w:val="005E51DC"/>
    <w:rsid w:val="005F53D9"/>
    <w:rsid w:val="00602E10"/>
    <w:rsid w:val="00613E8A"/>
    <w:rsid w:val="006142E5"/>
    <w:rsid w:val="006236C1"/>
    <w:rsid w:val="00625B2F"/>
    <w:rsid w:val="00646105"/>
    <w:rsid w:val="006466E1"/>
    <w:rsid w:val="00664F4D"/>
    <w:rsid w:val="006938AB"/>
    <w:rsid w:val="006A472C"/>
    <w:rsid w:val="006B54AA"/>
    <w:rsid w:val="006B6C17"/>
    <w:rsid w:val="006C03FE"/>
    <w:rsid w:val="006C0A20"/>
    <w:rsid w:val="006F7074"/>
    <w:rsid w:val="00727E6E"/>
    <w:rsid w:val="00732053"/>
    <w:rsid w:val="00735672"/>
    <w:rsid w:val="00744F05"/>
    <w:rsid w:val="00772610"/>
    <w:rsid w:val="00775827"/>
    <w:rsid w:val="00783F6B"/>
    <w:rsid w:val="007B1310"/>
    <w:rsid w:val="007B6185"/>
    <w:rsid w:val="007B637C"/>
    <w:rsid w:val="007D07AF"/>
    <w:rsid w:val="007F52BE"/>
    <w:rsid w:val="008010A4"/>
    <w:rsid w:val="00830BA1"/>
    <w:rsid w:val="00830FF9"/>
    <w:rsid w:val="00843476"/>
    <w:rsid w:val="0085792B"/>
    <w:rsid w:val="00872DA3"/>
    <w:rsid w:val="00877344"/>
    <w:rsid w:val="008B645D"/>
    <w:rsid w:val="008C4110"/>
    <w:rsid w:val="008D6666"/>
    <w:rsid w:val="008D6B14"/>
    <w:rsid w:val="0090353B"/>
    <w:rsid w:val="00924162"/>
    <w:rsid w:val="00930CA1"/>
    <w:rsid w:val="009863D5"/>
    <w:rsid w:val="009A045C"/>
    <w:rsid w:val="009A12E8"/>
    <w:rsid w:val="009B2178"/>
    <w:rsid w:val="009B7404"/>
    <w:rsid w:val="009D1CF3"/>
    <w:rsid w:val="009F6288"/>
    <w:rsid w:val="00A01E37"/>
    <w:rsid w:val="00A21083"/>
    <w:rsid w:val="00AC295D"/>
    <w:rsid w:val="00AF4832"/>
    <w:rsid w:val="00AF52EA"/>
    <w:rsid w:val="00B018B7"/>
    <w:rsid w:val="00B34315"/>
    <w:rsid w:val="00B34761"/>
    <w:rsid w:val="00B35F27"/>
    <w:rsid w:val="00B36730"/>
    <w:rsid w:val="00B6186B"/>
    <w:rsid w:val="00BA252F"/>
    <w:rsid w:val="00BB256F"/>
    <w:rsid w:val="00BC368A"/>
    <w:rsid w:val="00BD2C37"/>
    <w:rsid w:val="00BD3AFB"/>
    <w:rsid w:val="00C0655F"/>
    <w:rsid w:val="00C13026"/>
    <w:rsid w:val="00C131DD"/>
    <w:rsid w:val="00C151CE"/>
    <w:rsid w:val="00C161FC"/>
    <w:rsid w:val="00C2076A"/>
    <w:rsid w:val="00C35A14"/>
    <w:rsid w:val="00CA2E5C"/>
    <w:rsid w:val="00CC3947"/>
    <w:rsid w:val="00CE6961"/>
    <w:rsid w:val="00CE7505"/>
    <w:rsid w:val="00D030F2"/>
    <w:rsid w:val="00DE1FFB"/>
    <w:rsid w:val="00E00D45"/>
    <w:rsid w:val="00E36604"/>
    <w:rsid w:val="00E418E6"/>
    <w:rsid w:val="00E41BBF"/>
    <w:rsid w:val="00E4465B"/>
    <w:rsid w:val="00E56875"/>
    <w:rsid w:val="00E56E67"/>
    <w:rsid w:val="00E94937"/>
    <w:rsid w:val="00EB3347"/>
    <w:rsid w:val="00EB5409"/>
    <w:rsid w:val="00EB6808"/>
    <w:rsid w:val="00EC1E35"/>
    <w:rsid w:val="00F350E7"/>
    <w:rsid w:val="00F60491"/>
    <w:rsid w:val="00F61238"/>
    <w:rsid w:val="00F933ED"/>
    <w:rsid w:val="00F93B3C"/>
    <w:rsid w:val="00FE45F8"/>
    <w:rsid w:val="00FF34C4"/>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145402"/>
  <w15:chartTrackingRefBased/>
  <w15:docId w15:val="{77AF9C5B-F807-472C-9D0B-173D0043F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t-E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basedOn w:val="Normaallaad"/>
    <w:next w:val="Normaallaad"/>
    <w:link w:val="Pealkiri1Mrk"/>
    <w:uiPriority w:val="9"/>
    <w:qFormat/>
    <w:rsid w:val="00B347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B347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B34761"/>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B34761"/>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B34761"/>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B34761"/>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B34761"/>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B34761"/>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B34761"/>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B34761"/>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B34761"/>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B34761"/>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B34761"/>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B34761"/>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B34761"/>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B34761"/>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B34761"/>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B34761"/>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B347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B34761"/>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B34761"/>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B34761"/>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B34761"/>
    <w:pPr>
      <w:spacing w:before="160"/>
      <w:jc w:val="center"/>
    </w:pPr>
    <w:rPr>
      <w:i/>
      <w:iCs/>
      <w:color w:val="404040" w:themeColor="text1" w:themeTint="BF"/>
    </w:rPr>
  </w:style>
  <w:style w:type="character" w:customStyle="1" w:styleId="TsitaatMrk">
    <w:name w:val="Tsitaat Märk"/>
    <w:basedOn w:val="Liguvaikefont"/>
    <w:link w:val="Tsitaat"/>
    <w:uiPriority w:val="29"/>
    <w:rsid w:val="00B34761"/>
    <w:rPr>
      <w:i/>
      <w:iCs/>
      <w:color w:val="404040" w:themeColor="text1" w:themeTint="BF"/>
    </w:rPr>
  </w:style>
  <w:style w:type="paragraph" w:styleId="Loendilik">
    <w:name w:val="List Paragraph"/>
    <w:basedOn w:val="Normaallaad"/>
    <w:uiPriority w:val="34"/>
    <w:qFormat/>
    <w:rsid w:val="00B34761"/>
    <w:pPr>
      <w:ind w:left="720"/>
      <w:contextualSpacing/>
    </w:pPr>
  </w:style>
  <w:style w:type="character" w:styleId="Selgeltmrgatavrhutus">
    <w:name w:val="Intense Emphasis"/>
    <w:basedOn w:val="Liguvaikefont"/>
    <w:uiPriority w:val="21"/>
    <w:qFormat/>
    <w:rsid w:val="00B34761"/>
    <w:rPr>
      <w:i/>
      <w:iCs/>
      <w:color w:val="0F4761" w:themeColor="accent1" w:themeShade="BF"/>
    </w:rPr>
  </w:style>
  <w:style w:type="paragraph" w:styleId="Selgeltmrgatavtsitaat">
    <w:name w:val="Intense Quote"/>
    <w:basedOn w:val="Normaallaad"/>
    <w:next w:val="Normaallaad"/>
    <w:link w:val="SelgeltmrgatavtsitaatMrk"/>
    <w:uiPriority w:val="30"/>
    <w:qFormat/>
    <w:rsid w:val="00B347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B34761"/>
    <w:rPr>
      <w:i/>
      <w:iCs/>
      <w:color w:val="0F4761" w:themeColor="accent1" w:themeShade="BF"/>
    </w:rPr>
  </w:style>
  <w:style w:type="character" w:styleId="Selgeltmrgatavviide">
    <w:name w:val="Intense Reference"/>
    <w:basedOn w:val="Liguvaikefont"/>
    <w:uiPriority w:val="32"/>
    <w:qFormat/>
    <w:rsid w:val="00B34761"/>
    <w:rPr>
      <w:b/>
      <w:bCs/>
      <w:smallCaps/>
      <w:color w:val="0F4761" w:themeColor="accent1" w:themeShade="BF"/>
      <w:spacing w:val="5"/>
    </w:rPr>
  </w:style>
  <w:style w:type="table" w:styleId="Kontuurtabel">
    <w:name w:val="Table Grid"/>
    <w:basedOn w:val="Normaaltabel"/>
    <w:uiPriority w:val="39"/>
    <w:rsid w:val="00B3476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perlink">
    <w:name w:val="Hyperlink"/>
    <w:basedOn w:val="Liguvaikefont"/>
    <w:uiPriority w:val="99"/>
    <w:unhideWhenUsed/>
    <w:rsid w:val="009B2178"/>
    <w:rPr>
      <w:color w:val="467886" w:themeColor="hyperlink"/>
      <w:u w:val="single"/>
    </w:rPr>
  </w:style>
  <w:style w:type="paragraph" w:styleId="Allmrkusetekst">
    <w:name w:val="footnote text"/>
    <w:basedOn w:val="Normaallaad"/>
    <w:link w:val="AllmrkusetekstMrk"/>
    <w:uiPriority w:val="99"/>
    <w:semiHidden/>
    <w:unhideWhenUsed/>
    <w:rsid w:val="009B2178"/>
    <w:pPr>
      <w:spacing w:after="0" w:line="240" w:lineRule="auto"/>
    </w:pPr>
    <w:rPr>
      <w:sz w:val="20"/>
      <w:szCs w:val="20"/>
    </w:rPr>
  </w:style>
  <w:style w:type="character" w:customStyle="1" w:styleId="AllmrkusetekstMrk">
    <w:name w:val="Allmärkuse tekst Märk"/>
    <w:basedOn w:val="Liguvaikefont"/>
    <w:link w:val="Allmrkusetekst"/>
    <w:uiPriority w:val="99"/>
    <w:semiHidden/>
    <w:rsid w:val="009B2178"/>
    <w:rPr>
      <w:sz w:val="20"/>
      <w:szCs w:val="20"/>
    </w:rPr>
  </w:style>
  <w:style w:type="character" w:styleId="Allmrkuseviide">
    <w:name w:val="footnote reference"/>
    <w:basedOn w:val="Liguvaikefont"/>
    <w:uiPriority w:val="99"/>
    <w:semiHidden/>
    <w:unhideWhenUsed/>
    <w:rsid w:val="009B2178"/>
    <w:rPr>
      <w:vertAlign w:val="superscript"/>
    </w:rPr>
  </w:style>
  <w:style w:type="paragraph" w:styleId="Pis">
    <w:name w:val="header"/>
    <w:basedOn w:val="Normaallaad"/>
    <w:link w:val="PisMrk"/>
    <w:uiPriority w:val="99"/>
    <w:unhideWhenUsed/>
    <w:rsid w:val="00393163"/>
    <w:pPr>
      <w:tabs>
        <w:tab w:val="center" w:pos="4536"/>
        <w:tab w:val="right" w:pos="9072"/>
      </w:tabs>
      <w:spacing w:after="0" w:line="240" w:lineRule="auto"/>
    </w:pPr>
  </w:style>
  <w:style w:type="character" w:customStyle="1" w:styleId="PisMrk">
    <w:name w:val="Päis Märk"/>
    <w:basedOn w:val="Liguvaikefont"/>
    <w:link w:val="Pis"/>
    <w:uiPriority w:val="99"/>
    <w:rsid w:val="00393163"/>
  </w:style>
  <w:style w:type="paragraph" w:styleId="Jalus">
    <w:name w:val="footer"/>
    <w:basedOn w:val="Normaallaad"/>
    <w:link w:val="JalusMrk"/>
    <w:uiPriority w:val="99"/>
    <w:unhideWhenUsed/>
    <w:rsid w:val="00393163"/>
    <w:pPr>
      <w:tabs>
        <w:tab w:val="center" w:pos="4536"/>
        <w:tab w:val="right" w:pos="9072"/>
      </w:tabs>
      <w:spacing w:after="0" w:line="240" w:lineRule="auto"/>
    </w:pPr>
  </w:style>
  <w:style w:type="character" w:customStyle="1" w:styleId="JalusMrk">
    <w:name w:val="Jalus Märk"/>
    <w:basedOn w:val="Liguvaikefont"/>
    <w:link w:val="Jalus"/>
    <w:uiPriority w:val="99"/>
    <w:rsid w:val="00393163"/>
  </w:style>
  <w:style w:type="character" w:styleId="Lahendamatamainimine">
    <w:name w:val="Unresolved Mention"/>
    <w:basedOn w:val="Liguvaikefont"/>
    <w:uiPriority w:val="99"/>
    <w:semiHidden/>
    <w:unhideWhenUsed/>
    <w:rsid w:val="006C03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337fe66-7b5b-47f1-b652-4788c4af0719">
      <Terms xmlns="http://schemas.microsoft.com/office/infopath/2007/PartnerControls"/>
    </lcf76f155ced4ddcb4097134ff3c332f>
    <TaxCatchAll xmlns="3d7fb3fa-7f75-4382-a1fe-43b99e0a978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77DF00E875A9A44F8E1F60D2B4D03DF5" ma:contentTypeVersion="13" ma:contentTypeDescription="Loo uus dokument" ma:contentTypeScope="" ma:versionID="7f3c0193f83d03c09b518b2561b75e96">
  <xsd:schema xmlns:xsd="http://www.w3.org/2001/XMLSchema" xmlns:xs="http://www.w3.org/2001/XMLSchema" xmlns:p="http://schemas.microsoft.com/office/2006/metadata/properties" xmlns:ns2="c337fe66-7b5b-47f1-b652-4788c4af0719" xmlns:ns3="3d7fb3fa-7f75-4382-a1fe-43b99e0a9782" targetNamespace="http://schemas.microsoft.com/office/2006/metadata/properties" ma:root="true" ma:fieldsID="fff1f541a57634efe9ea976b373eca1a" ns2:_="" ns3:_="">
    <xsd:import namespace="c337fe66-7b5b-47f1-b652-4788c4af0719"/>
    <xsd:import namespace="3d7fb3fa-7f75-4382-a1fe-43b99e0a97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37fe66-7b5b-47f1-b652-4788c4af07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Pildisildid"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descrip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7fb3fa-7f75-4382-a1fe-43b99e0a978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b0ee404-bb6f-4f84-90e1-bd764a42e72b}" ma:internalName="TaxCatchAll" ma:showField="CatchAllData" ma:web="3d7fb3fa-7f75-4382-a1fe-43b99e0a97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9E9DDA-3D9F-4A9F-92CA-8E228BD5C3EF}">
  <ds:schemaRefs>
    <ds:schemaRef ds:uri="http://schemas.microsoft.com/office/2006/metadata/properties"/>
    <ds:schemaRef ds:uri="http://schemas.microsoft.com/office/infopath/2007/PartnerControls"/>
    <ds:schemaRef ds:uri="c337fe66-7b5b-47f1-b652-4788c4af0719"/>
    <ds:schemaRef ds:uri="3d7fb3fa-7f75-4382-a1fe-43b99e0a9782"/>
  </ds:schemaRefs>
</ds:datastoreItem>
</file>

<file path=customXml/itemProps2.xml><?xml version="1.0" encoding="utf-8"?>
<ds:datastoreItem xmlns:ds="http://schemas.openxmlformats.org/officeDocument/2006/customXml" ds:itemID="{2DD238BA-59E5-491D-B7D7-BED2546E31C6}">
  <ds:schemaRefs>
    <ds:schemaRef ds:uri="http://schemas.microsoft.com/sharepoint/v3/contenttype/forms"/>
  </ds:schemaRefs>
</ds:datastoreItem>
</file>

<file path=customXml/itemProps3.xml><?xml version="1.0" encoding="utf-8"?>
<ds:datastoreItem xmlns:ds="http://schemas.openxmlformats.org/officeDocument/2006/customXml" ds:itemID="{622DDB0F-48B2-4E0A-8B09-1B348B2972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37fe66-7b5b-47f1-b652-4788c4af0719"/>
    <ds:schemaRef ds:uri="3d7fb3fa-7f75-4382-a1fe-43b99e0a97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D3C2EF8-2457-4948-9E7D-BC96FF2756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667</Words>
  <Characters>3875</Characters>
  <Application>Microsoft Office Word</Application>
  <DocSecurity>0</DocSecurity>
  <Lines>32</Lines>
  <Paragraphs>9</Paragraphs>
  <ScaleCrop>false</ScaleCrop>
  <Company/>
  <LinksUpToDate>false</LinksUpToDate>
  <CharactersWithSpaces>4533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Einar Hillep - JUSTDIGI</dc:creator>
  <cp:keywords/>
  <dc:description/>
  <cp:lastModifiedBy>Heili Tõnisson - RK</cp:lastModifiedBy>
  <cp:revision>6</cp:revision>
  <dcterms:created xsi:type="dcterms:W3CDTF">2026-05-06T17:50:00Z</dcterms:created>
  <dcterms:modified xsi:type="dcterms:W3CDTF">2026-05-07T08:21:00Z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2026-03-26T12:55:58Z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8fe098d2-428d-4bd4-9803-7195fe96f0e2</vt:lpwstr>
  </property>
  <property fmtid="{D5CDD505-2E9C-101B-9397-08002B2CF9AE}" pid="7" name="MSIP_Label_defa4170-0d19-0005-0004-bc88714345d2_ActionId">
    <vt:lpwstr>61b0f5ff-28fd-409b-b167-5ffdaa5915dc</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y fmtid="{D5CDD505-2E9C-101B-9397-08002B2CF9AE}" pid="10" name="ContentTypeId">
    <vt:lpwstr>0x01010077DF00E875A9A44F8E1F60D2B4D03DF5</vt:lpwstr>
  </property>
  <property fmtid="{D5CDD505-2E9C-101B-9397-08002B2CF9AE}" pid="11" name="MediaServiceImageTags">
    <vt:lpwstr/>
  </property>
</Properties>
</file>